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Eberhardt Nancy K</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Forbright,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FRBT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34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3"/>
                <w:szCs w:val="13"/>
                <w:color w:val="auto"/>
              </w:rPr>
              <w:t>below)</w:t>
            </w:r>
          </w:p>
        </w:tc>
        <w:tc>
          <w:tcPr>
            <w:tcW w:w="1740" w:type="dxa"/>
            <w:vAlign w:val="bottom"/>
            <w:gridSpan w:val="3"/>
          </w:tcPr>
          <w:p>
            <w:pPr>
              <w:ind w:left="5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4445 WILLARD AVENUE</w:t>
            </w:r>
          </w:p>
        </w:tc>
        <w:tc>
          <w:tcPr>
            <w:tcW w:w="1640" w:type="dxa"/>
            <w:vAlign w:val="bottom"/>
          </w:tcPr>
          <w:p>
            <w:pPr>
              <w:spacing w:after="0"/>
              <w:rPr>
                <w:sz w:val="19"/>
                <w:szCs w:val="19"/>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CHEVY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20815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CHASE</w:t>
            </w:r>
          </w:p>
        </w:tc>
        <w:tc>
          <w:tcPr>
            <w:tcW w:w="94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640" w:type="dxa"/>
            <w:vAlign w:val="bottom"/>
          </w:tcPr>
          <w:p>
            <w:pPr>
              <w:ind w:left="4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80" w:type="dxa"/>
            <w:vAlign w:val="bottom"/>
            <w:gridSpan w:val="4"/>
          </w:tcPr>
          <w:p>
            <w:pPr>
              <w:ind w:left="10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80" w:type="dxa"/>
            <w:vAlign w:val="bottom"/>
            <w:gridSpan w:val="4"/>
          </w:tcPr>
          <w:p>
            <w:pPr>
              <w:ind w:left="10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80" w:type="dxa"/>
            <w:vAlign w:val="bottom"/>
            <w:tcBorders>
              <w:bottom w:val="single" w:sz="8" w:color="2C2C2C"/>
            </w:tcBorders>
            <w:gridSpan w:val="4"/>
          </w:tcPr>
          <w:p>
            <w:pPr>
              <w:ind w:left="1120"/>
              <w:spacing w:after="0"/>
              <w:rPr>
                <w:sz w:val="20"/>
                <w:szCs w:val="20"/>
                <w:color w:val="auto"/>
              </w:rPr>
            </w:pPr>
            <w:r>
              <w:rPr>
                <w:rFonts w:ascii="Times New Roman" w:cs="Times New Roman" w:eastAsia="Times New Roman" w:hAnsi="Times New Roman"/>
                <w:sz w:val="17"/>
                <w:szCs w:val="17"/>
                <w:color w:val="0000FF"/>
              </w:rPr>
              <w:t>06/10/2026</w:t>
            </w: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6,171</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1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right"/>
              <w:ind w:right="374"/>
              <w:spacing w:after="0"/>
              <w:rPr>
                <w:sz w:val="20"/>
                <w:szCs w:val="20"/>
                <w:color w:val="auto"/>
              </w:rPr>
            </w:pPr>
            <w:r>
              <w:rPr>
                <w:rFonts w:ascii="Times New Roman" w:cs="Times New Roman" w:eastAsia="Times New Roman" w:hAnsi="Times New Roman"/>
                <w:sz w:val="17"/>
                <w:szCs w:val="17"/>
                <w:color w:val="0000FF"/>
              </w:rPr>
              <w:t>6,171</w:t>
            </w:r>
          </w:p>
        </w:tc>
        <w:tc>
          <w:tcPr>
            <w:tcW w:w="8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Nancy 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0000FF"/>
              </w:rPr>
              <w:t>18,476</w:t>
            </w:r>
          </w:p>
        </w:tc>
        <w:tc>
          <w:tcPr>
            <w:tcW w:w="8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Eberhardt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Issuer's 2026 Omnibus Incentive Plan. The RSUs will vest in full on the date of the Issuer's 2027 annual meeting of stockholders, subject to the Reporting Person's continued service as a member of the Issuer's board of directors through such vesting date. Each RSU represents a contingent right to receive one share of Class A common stock.</w:t>
      </w:r>
    </w:p>
    <w:p>
      <w:pPr>
        <w:spacing w:after="0" w:line="7"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Nancy K. Eberhhardt Revocable Trust (the "Trust"), for which the Reporting Person is a trustee. The Reporting Person disclaims beneficial ownership of the shares held by the Trust, except to the extent of her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Kori L. Ogrosky,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22753" TargetMode="External"/><Relationship Id="rId14" Type="http://schemas.openxmlformats.org/officeDocument/2006/relationships/hyperlink" Target="http://www.sec.gov/cgi-bin/browse-edgar?action=getcompany&amp;CIK=0001925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2026-06-12T15:13:26Z</dcterms:created>
  <dcterms:modified xsi:type="dcterms:W3CDTF">2026-06-12T15:13:26Z</dcterms:modified>
</cp:coreProperties>
</file>