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Forbright,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CB Elevate Aggregator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3,178,251.00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CB Elevate Aggregator L.P. ("CB Elevate") following June 30, 2026 upon its exercise of anti-dilution conversion rights under the Issuer's Amended and Restated Certificate of Incorporation, pursuant to which CB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CB Elevate continues to hold 7,214,751 shares of Class B common stock that remain convertible into Class A common stock; however, the Issuer's Amended and Restated Certificate of Incorporation prohibits CB Elevate from converting such shares to the extent such conversion would result in CB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Centerbridge Special Credit Partners III-Flex,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3,178,251.00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CB Elevate following June 30, 2026 upon its exercise of anti-dilution conversion rights under the Issuer's Amended and Restated Certificate of Incorporation, pursuant to which CB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CB Elevate continues to hold 7,214,751 shares of Class B common stock that remain convertible into Class A common stock; however, the Issuer's Amended and Restated Certificate of Incorporation prohibits CB Elevate from converting such shares to the extent such conversion would result in CB Elevate beneficially owning more than 9.9% of the outstanding Class A common stock. As of June 30, 2026, prior to such conversion, the Reporting Persons beneficially owned 2,082,900 shares of Class A common stock, representing approximately 7.2% of the outstanding Class A common stock. Centerbridge Special Credit Partners General Partner III,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Centerbridge Special Credit Partners General Partner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3,178,251.00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CB Elevate following June 30, 2026 upon its exercise of anti-dilution conversion rights under the Issuer's Amended and Restated Certificate of Incorporation, pursuant to which CB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CB Elevate continues to hold 7,214,751 shares of Class B common stock that remain convertible into Class A common stock; however, the Issuer's Amended and Restated Certificate of Incorporation prohibits CB Elevate from converting such shares to the extent such conversion would result in CB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CSCP III Cayman GP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3,178,251.00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CB Elevate following June 30, 2026 upon its exercise of anti-dilution conversion rights under the Issuer's Amended and Restated Certificate of Incorporation, pursuant to which CB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CB Elevate continues to hold 7,214,751 shares of Class B common stock that remain convertible into Class A common stock; however, the Issuer's Amended and Restated Certificate of Incorporation prohibits CB Elevate from converting such shares to the extent such conversion would result in CB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Jeffrey H. Aronson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3,178,251.00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3,178,251.00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3,178,251.00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Class A common stock and percent of class reported herein include 1,095,351 shares of Class A common stock acquired by CB Elevate following June 30, 2026 upon its exercise of anti-dilution conversion rights under the Issuer's Amended and Restated Certificate of Incorporation, pursuant to which CB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CB Elevate continues to hold 7,214,751 shares of Class B common stock that remain convertible into Class A common stock; however, the Issuer's Amended and Restated Certificate of Incorporation prohibits CB Elevate from converting such shares to the extent such conversion would result in CB Elevate beneficially owning more than 9.9% of the outstanding Class A common stock. As of June 30, 2026, prior to such conversion, the Reporting Persons beneficially owned 2,082,900 shares of Class A common stock, representing approximately 7.2% of the outstanding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Forbright,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4445 Willard Avenue, Suite 1000 Chevy Chase, MD 20815</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(i) CB Elevate; (ii) Centerbridge Special Credit Partners III-Flex, L.P. ("SC III-Flex"); (iii) Centerbridge Special Credit Partners General Partner III, L.P. ("Special Credit III GP"); (iv) CSCP III Cayman GP Ltd. ("CSCP III Cayman GP"); and (v) Jeffrey H. Aronson. CB Elevate is the direct holder of the securities reported in this Schedule 13G. CSCP III Cayman GP is the general partner of Special Credit III GP, which is the general partner of SC III-Flex, and may be deemed to share beneficial ownership over the securities held directly by CB Elevate. As the director of CSCP III Cayman GP, Jeffrey H. Aronson may be deemed to share beneficial ownership with respect to the securities held directly by CB Elevate.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Persons is 375 Park Avenue, 11th Floor, New York, New York 10152.</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CB Elevate, SC III-Flex and Special Credit III GP are incorporated under the laws of Delaware. CSCP III Cayman GP is organized under the laws of the Cayman Islands. Mr. Aronson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August 14, 2026, CB Elevate directly owns 3,178,251 shares of Class A common stock of the Issuer, representing approximately 9.9% of the outstanding Class A common stock. CSCP III Cayman GP is the general partner of Special Credit III GP, which is the general partner of SC III-Flex, and may be deemed to share beneficial ownership over the securities held directly by CB Elevate. As the director of CSCP III Cayman GP, Jeffrey H. Aronson may be deemed to share beneficial ownership with respect to the securities held directly by CB Elevate. The percent of class beneficially owned by the Reporting Persons as of August 14, 2026 is based upon 32,103,172 shares of Class A common stock outstanding, as disclosed by the Issuer to the Reporting Persons. The shares of Class A common stock and percent of class reported herein include 1,095,351 shares of Class A common stock acquired by CB Elevate following June 30, 2026 upon its exercise of anti-dilution conversion rights under the Issuer's Amended and Restated Certificate of Incorporation, pursuant to which CB Elevate converted an equal number of its Class B common stock into shares of Class A common stock. Such conversion rights were triggered by the issuance of Class A common stock in the Issuer's initial public offering and certain other dilutive issuances of stock by the Company during the second quarter of 2026. CB Elevate continues to hold 7,214,751 shares of Class B common stock that remain convertible into Class A common stock; however, the Issuer's Amended and Restated Certificate of Incorporation prohibits CB Elevate from converting such shares to the extent such conversion would result in CB Elevate beneficially owning more than 9.9% of the outstanding Class A common stock. As of June 30, 2026, prior to such conversion, the Reporting Persons beneficially owned 2,082,900 shares of Class A common stock, representing approximately 7.2% of the outstanding Class A common stock based upon 28,939,391 shares of Class A common stock outstanding following the Issuer's initial public offering, as reported in the Issuer's prospectus filed with the Securities and Exchange Commission on June 11, 2026.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Item 4(a)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CB Elevate: 3,178,251 SC III-Flex: 3,178,251 Special Credit III GP: 3,178,251 CSCP III Cayman GP: 3,178,251 Jeffrey H. Aronson: 3,178,251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CB Elevate: 3,178,251 SC III-Flex: 3,178,251 Special Credit III GP: 3,178,251 CSCP III Cayman GP: 3,178,251 Jeffrey H. Aronson: 3,178,251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CB Elevate Aggregator L.P.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Elizabeth Uhl</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Elizabeth Uhl, Chief Compliance Officer &amp;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3" w:type="dxa"/>
            <w:tcBorders/>
            <w:vAlign w:val="center"/>
          </w:tcPr>
          <w:p>
            <w:pPr>
              <w:pStyle w:val="TableContents"/>
              <w:bidi w:val="0"/>
              <w:spacing w:before="0" w:after="283"/>
              <w:jc w:val="left"/>
              <w:rPr>
                <w:sz w:val="4"/>
                <w:szCs w:val="4"/>
              </w:rPr>
            </w:pPr>
            <w:r>
              <w:rPr>
                <w:sz w:val="4"/>
                <w:szCs w:val="4"/>
              </w:rPr>
            </w:r>
          </w:p>
        </w:tc>
      </w:tr>
    </w:tbl>
    <w:tbl>
      <w:tblPr>
        <w:tblW w:w="10148" w:type="dxa"/>
        <w:jc w:val="left"/>
        <w:tblInd w:w="0" w:type="dxa"/>
        <w:tblLayout w:type="fixed"/>
        <w:tblCellMar>
          <w:top w:w="28" w:type="dxa"/>
          <w:left w:w="28" w:type="dxa"/>
          <w:bottom w:w="28" w:type="dxa"/>
          <w:right w:w="28" w:type="dxa"/>
        </w:tblCellMar>
      </w:tblPr>
      <w:tblGrid>
        <w:gridCol w:w="5074"/>
        <w:gridCol w:w="5074"/>
      </w:tblGrid>
      <w:tr>
        <w:trPr/>
        <w:tc>
          <w:tcPr>
            <w:tcW w:w="5074" w:type="dxa"/>
            <w:tcBorders/>
            <w:vAlign w:val="center"/>
          </w:tcPr>
          <w:p>
            <w:pPr>
              <w:pStyle w:val="TableContents"/>
              <w:bidi w:val="0"/>
              <w:spacing w:before="0" w:after="0"/>
              <w:jc w:val="left"/>
              <w:rPr/>
            </w:pPr>
            <w:r>
              <w:rPr/>
              <w:t> </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0"/>
                    <w:jc w:val="left"/>
                    <w:rPr/>
                  </w:pPr>
                  <w:r>
                    <w:rPr/>
                    <w:t>Centerbridge Special Credit Partners III-Flex, L.P.</w:t>
                  </w:r>
                </w:p>
              </w:tc>
            </w:tr>
          </w:tbl>
          <w:p>
            <w:pPr>
              <w:pStyle w:val="TableContents"/>
              <w:bidi w:val="0"/>
              <w:spacing w:before="0" w:after="283"/>
              <w:jc w:val="left"/>
              <w:rPr/>
            </w:pPr>
            <w:r>
              <w:rPr/>
            </w:r>
          </w:p>
        </w:tc>
        <w:tc>
          <w:tcPr>
            <w:tcW w:w="5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Elizabeth Uhl</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Elizabeth Uhl, Chief Compliance Officer &amp;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29"/>
        <w:gridCol w:w="4976"/>
      </w:tblGrid>
      <w:tr>
        <w:trPr/>
        <w:tc>
          <w:tcPr>
            <w:tcW w:w="5229" w:type="dxa"/>
            <w:tcBorders/>
            <w:vAlign w:val="center"/>
          </w:tcPr>
          <w:p>
            <w:pPr>
              <w:pStyle w:val="TableContents"/>
              <w:bidi w:val="0"/>
              <w:spacing w:before="0" w:after="0"/>
              <w:jc w:val="left"/>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0"/>
                    <w:jc w:val="left"/>
                    <w:rPr/>
                  </w:pPr>
                  <w:r>
                    <w:rPr/>
                    <w:t>Centerbridge Special Credit Partners General Partner III, L.P.</w:t>
                  </w:r>
                </w:p>
              </w:tc>
            </w:tr>
          </w:tbl>
          <w:p>
            <w:pPr>
              <w:pStyle w:val="TableContents"/>
              <w:bidi w:val="0"/>
              <w:spacing w:before="0" w:after="283"/>
              <w:jc w:val="left"/>
              <w:rPr/>
            </w:pPr>
            <w:r>
              <w:rPr/>
            </w:r>
          </w:p>
        </w:tc>
        <w:tc>
          <w:tcPr>
            <w:tcW w:w="49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Elizabeth Uhl</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Elizabeth Uhl, Chief Compliance Officer &amp;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3"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CSCP III Cayman GP Ltd.</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Elizabeth Uhl</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Elizabeth Uhl, Chief Compliance Officer &amp;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3"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Jeffrey H. Aronson</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Jeffrey H. Aronson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Jeffrey H. Aronson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2" w:name="tm2623202d1_ex99-1.htm"/>
      <w:bookmarkStart w:id="33" w:name="kstm2623202d1_ex991"/>
      <w:bookmarkEnd w:id="32"/>
      <w:bookmarkEnd w:id="3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10"/>
        <w:gridCol w:w="5105"/>
        <w:gridCol w:w="75"/>
      </w:tblGrid>
      <w:tr>
        <w:trPr/>
        <w:tc>
          <w:tcPr>
            <w:tcW w:w="61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CB Elevate Aggregator L.P.</w:t>
            </w:r>
          </w:p>
        </w:tc>
        <w:tc>
          <w:tcPr>
            <w:tcW w:w="75" w:type="dxa"/>
            <w:tcBorders/>
            <w:vAlign w:val="center"/>
          </w:tcPr>
          <w:p>
            <w:pPr>
              <w:pStyle w:val="TableContents"/>
              <w:bidi w:val="0"/>
              <w:spacing w:before="0" w:after="283"/>
              <w:jc w:val="left"/>
              <w:rPr/>
            </w:pPr>
            <w:r>
              <w:rPr/>
              <w:t> </w:t>
            </w:r>
          </w:p>
        </w:tc>
      </w:tr>
      <w:tr>
        <w:trPr/>
        <w:tc>
          <w:tcPr>
            <w:tcW w:w="61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5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Elizabeth Uhl</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Uhl, Chief Compliance Officer &amp; Managing Director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1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Centerbridge Special Credit Partners III-Flex, L.P.</w:t>
            </w:r>
          </w:p>
        </w:tc>
        <w:tc>
          <w:tcPr>
            <w:tcW w:w="75" w:type="dxa"/>
            <w:tcBorders/>
            <w:vAlign w:val="center"/>
          </w:tcPr>
          <w:p>
            <w:pPr>
              <w:pStyle w:val="TableContents"/>
              <w:bidi w:val="0"/>
              <w:spacing w:before="0" w:after="283"/>
              <w:jc w:val="left"/>
              <w:rPr/>
            </w:pPr>
            <w:r>
              <w:rPr/>
              <w:t> </w:t>
            </w:r>
          </w:p>
        </w:tc>
      </w:tr>
      <w:tr>
        <w:trPr/>
        <w:tc>
          <w:tcPr>
            <w:tcW w:w="61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5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Elizabeth Uhl</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Uhl, Chief Compliance Officer &amp; Managing Director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1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Centerbridge Special Credit Partners General Partner III, L.P.</w:t>
            </w:r>
          </w:p>
        </w:tc>
        <w:tc>
          <w:tcPr>
            <w:tcW w:w="75" w:type="dxa"/>
            <w:tcBorders/>
            <w:vAlign w:val="center"/>
          </w:tcPr>
          <w:p>
            <w:pPr>
              <w:pStyle w:val="TableContents"/>
              <w:bidi w:val="0"/>
              <w:spacing w:before="0" w:after="283"/>
              <w:jc w:val="left"/>
              <w:rPr/>
            </w:pPr>
            <w:r>
              <w:rPr/>
              <w:t> </w:t>
            </w:r>
          </w:p>
        </w:tc>
      </w:tr>
      <w:tr>
        <w:trPr/>
        <w:tc>
          <w:tcPr>
            <w:tcW w:w="61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5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Elizabeth Uhl</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Uhl, Chief Compliance Officer &amp; Managing Director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1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CSCP III Cayman GP Ltd.</w:t>
            </w:r>
          </w:p>
        </w:tc>
        <w:tc>
          <w:tcPr>
            <w:tcW w:w="75" w:type="dxa"/>
            <w:tcBorders/>
            <w:vAlign w:val="center"/>
          </w:tcPr>
          <w:p>
            <w:pPr>
              <w:pStyle w:val="TableContents"/>
              <w:bidi w:val="0"/>
              <w:spacing w:before="0" w:after="283"/>
              <w:jc w:val="left"/>
              <w:rPr/>
            </w:pPr>
            <w:r>
              <w:rPr/>
              <w:t> </w:t>
            </w:r>
          </w:p>
        </w:tc>
      </w:tr>
      <w:tr>
        <w:trPr/>
        <w:tc>
          <w:tcPr>
            <w:tcW w:w="61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5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Elizabeth Uhl</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Uhl, Chief Compliance Officer &amp; Managing Director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1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Jeffrey H. Aronson</w:t>
            </w:r>
          </w:p>
        </w:tc>
        <w:tc>
          <w:tcPr>
            <w:tcW w:w="75" w:type="dxa"/>
            <w:tcBorders/>
            <w:vAlign w:val="center"/>
          </w:tcPr>
          <w:p>
            <w:pPr>
              <w:pStyle w:val="TableContents"/>
              <w:bidi w:val="0"/>
              <w:spacing w:before="0" w:after="283"/>
              <w:jc w:val="left"/>
              <w:rPr/>
            </w:pPr>
            <w:r>
              <w:rPr/>
              <w:t> </w:t>
            </w:r>
          </w:p>
        </w:tc>
      </w:tr>
      <w:tr>
        <w:trPr/>
        <w:tc>
          <w:tcPr>
            <w:tcW w:w="61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5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H. Aronson</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H. Aronson</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2985</Words>
  <Characters>15785</Characters>
  <CharactersWithSpaces>18692</CharactersWithSpaces>
  <Paragraphs>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