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Forbright,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Bayview Opportunity Master Fund VI,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1,281,207.00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1,281,207.00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1,281,207.00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reported on this cover page is as of August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Bayview Opportunity Master Fund VIa,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680,641.00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680,641.00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680,641.00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beneficial ownership reported on this cover page is as of August 14,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Bayview Asset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1,961,848.00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1,961,848.00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1,961,848.00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reported on this cover page is as of August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Mayim Capital,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420,396.00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420,396.00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420,396.00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beneficial ownership reported on this cover page is as of August 14,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Ertel</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420,396.00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420,396.00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420,396.00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420,396.00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840,792.00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reported on this cover page is as of August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Forbright, Inc.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4445 Willard Avenue, Suite 1000, Chevy Chase, MD 20815</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Schedule 13G is being filed by the Reporting Persons (as defined herein) with respect to the shares of Class A common stock, $0.001 par value per share ("Class A Common Stock") of Forbright, Inc. (the "Issuer"). Each of the following is hereinafter individually referred to as a "Reporting Person" and collectively as the "Reporting Persons." This statement is filed on behalf of: (i) Bayview Opportunity Master Fund VI, L.P., a Delaware limited partnership, (ii) Bayview Opportunity Master Fund VIa, L.P., a Delaware limited partnership, (iii) Bayview Asset Management, LLC, a Delaware limited liability company, (iv) Mayim Capital, LLC, a Florida limited liability company, and (v) David Ertel, a United States citizen.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c/o Bayview Fund Management LLC, 4425 Ponce de Leon Blvd., 4th Floor, Coral Gables, FL 33146.</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See Item 2(a) above.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information set forth in the cover pages of this Schedule 13G are hereby incorporated by reference into this Item 4. As of August 14, 2026, collectively, the Reporting Persons beneficially owned an aggregate of 2,802,640 shares of Class A Common Stock consisting of: (i) 1,281,207 shares of Class A Common Stock held by Bayview Opportunity Master Fund VI, L.P. ("BOF-VI Investor"), (ii) 680,641 shares of Class A Common Stock held by Bayview Opportunity Master Fund VIa, L.P. ("BOF-VIa Investor"), (iii) 420,396 shares of Class A Common Stock held by Mayim Capital, LLC ("Mayim Capital"), and (iv) 420,396 shares of Class A Common Stock held by David and Beth L. Ertel, husband and wife as tenants by the entireties. Mayim Capital holds an indirect equity interest in Bayview Asset Management, LLC, which is the sole member of Bayview Fund Management LLC, which serves as investment manager of each of BOF-VI Investor and BOF-VIa Investor. David Ertel is the sole member of Mayim Capital. Neither the filing of this Schedule 13G nor any of its contents shall be deemed to constitute an admission that any Reporting Person is the beneficial owner of the shares of Class A Common Stock referred to herein for purposes of Section 13(d) of the Securities Exchange Act of 1934, as amended (the "Act"), or for any other purpose and each of the Reporting Persons expressly disclaims beneficial ownership of such shares. The filing of this statement should not be construed to be an admission that any member of the Reporting Persons are members of a "group" for the purposes of Sections 13(d) and 13(g) of the Act. As of June 30, 2026, the Reporting Persons beneficially owned an aggregate of 1,835,713 shares of Class A Common Stock consisting of: (i) 839,183 shares of Class A Common Stock held by BOF-VI Investor, (ii) 445,816 shares of Class A Common Stock held by BOF-VIa Investor, (iii) 275,357 shares of Class A Common Stock held by Mayim Capital, and (iv) 275,357 shares of Class A Common Stock held by David and Beth L. Ertel, husband and wife as tenants by the entireties.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August 14, 2026, each of the Reporting Persons may be deemed to be the beneficial owner of the percentage of Class A Common Stock listed on such Reporting Person's cover page. As of August 14, 2026, the Reporting Persons beneficially owned in the aggregate 2,802,640 shares of Class A Common Stock representing 8.7% of the outstanding shares of Class A Common Stock. Calculations of the percentage of shares of Class A Common Stock beneficially owned are based on 32,103,172 shares of Class A Common Stock outstanding as of the date hereof based on information provided by the Issuer. As of June 30, 2026, the Reporting Persons beneficially owned an aggregate of 1,835,713 representing 6.3% of the outstanding shares of Class A Common Stock based on 28,939,391 shares of Class A Common Stock outstanding following the consummation of the Issuer's initial public offering as disclosed in the prospectus on Form 424B4 filed by the Issuer with the Securities and Exchange Commission on June 11, 2026.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See each cover page hereof.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See each cover page hereof.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See each cover page hereof.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See each cover page hereof.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000" w:type="dxa"/>
        <w:jc w:val="left"/>
        <w:tblInd w:w="0" w:type="dxa"/>
        <w:tblLayout w:type="fixed"/>
        <w:tblCellMar>
          <w:top w:w="28" w:type="dxa"/>
          <w:left w:w="28" w:type="dxa"/>
          <w:bottom w:w="28" w:type="dxa"/>
          <w:right w:w="28" w:type="dxa"/>
        </w:tblCellMar>
      </w:tblPr>
      <w:tblGrid>
        <w:gridCol w:w="4500"/>
        <w:gridCol w:w="4500"/>
      </w:tblGrid>
      <w:tr>
        <w:trPr/>
        <w:tc>
          <w:tcPr>
            <w:tcW w:w="4500" w:type="dxa"/>
            <w:tcBorders/>
            <w:vAlign w:val="center"/>
          </w:tcPr>
          <w:p>
            <w:pPr>
              <w:pStyle w:val="TableContents"/>
              <w:bidi w:val="0"/>
              <w:spacing w:before="0" w:after="0"/>
              <w:jc w:val="left"/>
              <w:rPr/>
            </w:pPr>
            <w:r>
              <w:rPr/>
              <w:t> </w:t>
            </w:r>
          </w:p>
          <w:tbl>
            <w:tblPr>
              <w:tblW w:w="4336" w:type="dxa"/>
              <w:jc w:val="left"/>
              <w:tblInd w:w="0" w:type="dxa"/>
              <w:tblLayout w:type="fixed"/>
              <w:tblCellMar>
                <w:top w:w="28" w:type="dxa"/>
                <w:left w:w="28" w:type="dxa"/>
                <w:bottom w:w="28" w:type="dxa"/>
                <w:right w:w="28" w:type="dxa"/>
              </w:tblCellMar>
            </w:tblPr>
            <w:tblGrid>
              <w:gridCol w:w="4336"/>
            </w:tblGrid>
            <w:tr>
              <w:trPr/>
              <w:tc>
                <w:tcPr>
                  <w:tcW w:w="4336" w:type="dxa"/>
                  <w:tcBorders/>
                  <w:vAlign w:val="center"/>
                </w:tcPr>
                <w:p>
                  <w:pPr>
                    <w:pStyle w:val="TableContents"/>
                    <w:bidi w:val="0"/>
                    <w:spacing w:before="0" w:after="0"/>
                    <w:jc w:val="left"/>
                    <w:rPr/>
                  </w:pPr>
                  <w:r>
                    <w:rPr/>
                    <w:t>Bayview Opportunity Master Fund VI, L.P.</w:t>
                  </w:r>
                </w:p>
              </w:tc>
            </w:tr>
          </w:tbl>
          <w:p>
            <w:pPr>
              <w:pStyle w:val="TableContents"/>
              <w:bidi w:val="0"/>
              <w:spacing w:before="0" w:after="283"/>
              <w:jc w:val="left"/>
              <w:rPr/>
            </w:pPr>
            <w:r>
              <w:rPr/>
            </w:r>
          </w:p>
        </w:tc>
        <w:tc>
          <w:tcPr>
            <w:tcW w:w="4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Daniel J. Blumenthal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Bayview Capital GP VI, LLC, its General Partner, By: Daniel J. Blumenthal, Senior, Vice President and Secretary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Bayview Opportunity Master Fund VIa, L.P.</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Daniel J. Blumenthal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Bayview Capital GP VIA, LLC, its General Partner, By: Daniel J. Blumenthal, Senior, Vice President and Secretary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Bayview Asset Management,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Carlos M. Portugal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Carlos M. Portugal, Senior Vice 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Mayim Capital, LLC</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2"/>
        <w:gridCol w:w="4483"/>
      </w:tblGrid>
      <w:tr>
        <w:trPr/>
        <w:tc>
          <w:tcPr>
            <w:tcW w:w="57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David Ertel</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David Ertel,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83" w:type="dxa"/>
            <w:tcBorders/>
            <w:vAlign w:val="center"/>
          </w:tcPr>
          <w:p>
            <w:pPr>
              <w:pStyle w:val="TableContents"/>
              <w:bidi w:val="0"/>
              <w:spacing w:before="0" w:after="283"/>
              <w:jc w:val="left"/>
              <w:rPr>
                <w:sz w:val="4"/>
                <w:szCs w:val="4"/>
              </w:rPr>
            </w:pPr>
            <w:r>
              <w:rPr>
                <w:sz w:val="4"/>
                <w:szCs w:val="4"/>
              </w:rPr>
            </w:r>
          </w:p>
        </w:tc>
      </w:tr>
    </w:tbl>
    <w:tbl>
      <w:tblPr>
        <w:tblW w:w="2756" w:type="dxa"/>
        <w:jc w:val="left"/>
        <w:tblInd w:w="0" w:type="dxa"/>
        <w:tblLayout w:type="fixed"/>
        <w:tblCellMar>
          <w:top w:w="28" w:type="dxa"/>
          <w:left w:w="28" w:type="dxa"/>
          <w:bottom w:w="28" w:type="dxa"/>
          <w:right w:w="28" w:type="dxa"/>
        </w:tblCellMar>
      </w:tblPr>
      <w:tblGrid>
        <w:gridCol w:w="1378"/>
        <w:gridCol w:w="1378"/>
      </w:tblGrid>
      <w:tr>
        <w:trPr/>
        <w:tc>
          <w:tcPr>
            <w:tcW w:w="1378" w:type="dxa"/>
            <w:tcBorders/>
            <w:vAlign w:val="center"/>
          </w:tcPr>
          <w:p>
            <w:pPr>
              <w:pStyle w:val="TableContents"/>
              <w:bidi w:val="0"/>
              <w:spacing w:before="0" w:after="0"/>
              <w:jc w:val="left"/>
              <w:rPr/>
            </w:pPr>
            <w:r>
              <w:rPr/>
              <w:t> </w:t>
            </w:r>
          </w:p>
          <w:tbl>
            <w:tblPr>
              <w:tblW w:w="1261" w:type="dxa"/>
              <w:jc w:val="left"/>
              <w:tblInd w:w="0" w:type="dxa"/>
              <w:tblLayout w:type="fixed"/>
              <w:tblCellMar>
                <w:top w:w="28" w:type="dxa"/>
                <w:left w:w="28" w:type="dxa"/>
                <w:bottom w:w="28" w:type="dxa"/>
                <w:right w:w="28" w:type="dxa"/>
              </w:tblCellMar>
            </w:tblPr>
            <w:tblGrid>
              <w:gridCol w:w="1261"/>
            </w:tblGrid>
            <w:tr>
              <w:trPr/>
              <w:tc>
                <w:tcPr>
                  <w:tcW w:w="1261" w:type="dxa"/>
                  <w:tcBorders/>
                  <w:vAlign w:val="center"/>
                </w:tcPr>
                <w:p>
                  <w:pPr>
                    <w:pStyle w:val="TableContents"/>
                    <w:bidi w:val="0"/>
                    <w:spacing w:before="0" w:after="0"/>
                    <w:jc w:val="left"/>
                    <w:rPr/>
                  </w:pPr>
                  <w:r>
                    <w:rPr/>
                    <w:t>David Ertel</w:t>
                  </w:r>
                </w:p>
              </w:tc>
            </w:tr>
          </w:tbl>
          <w:p>
            <w:pPr>
              <w:pStyle w:val="TableContents"/>
              <w:bidi w:val="0"/>
              <w:spacing w:before="0" w:after="283"/>
              <w:jc w:val="left"/>
              <w:rPr/>
            </w:pPr>
            <w:r>
              <w:rPr/>
            </w:r>
          </w:p>
        </w:tc>
        <w:tc>
          <w:tcPr>
            <w:tcW w:w="1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David Ertel</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David Ertel</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1955</Words>
  <Characters>10028</Characters>
  <CharactersWithSpaces>11905</CharactersWithSpaces>
  <Paragraphs>349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