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Kohn Donald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4445 WILLARD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CHEVY 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Forbright, Inc.</w:t>
              </w:r>
            </w:hyperlink>
            <w:r>
              <w:rPr/>
              <w:t xml:space="preserve"> [ </w:t>
            </w:r>
            <w:r>
              <w:rPr>
                <w:rFonts w:ascii="Times;serif" w:hAnsi="Times;serif"/>
                <w:color w:val="0000FF"/>
                <w:sz w:val="24"/>
                <w:shd w:fill="FFFFFF" w:val="clear"/>
              </w:rPr>
              <w:t>FRBT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6,171</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under the Issuer's 2026 Omnibus Incentive Plan. The RSUs will vest in full on the date of the Issuer's 2027 annual meeting of stockholders, subject to the Reporting Person's continued service as a member of the Issuer's board of directors through such vesting date. Each RSU represents a contingent right to receive one share of Class 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Kori L. Ogrosky,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4881" TargetMode="External"/><Relationship Id="rId5" Type="http://schemas.openxmlformats.org/officeDocument/2006/relationships/hyperlink" Target="http://www.sec.gov/cgi-bin/browse-edgar?action=getcompany&amp;CIK=0001925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3377</Characters>
  <CharactersWithSpaces>3945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