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Christopher Travis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4445 WILLARD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CHEVY 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Forbright, Inc.</w:t>
              </w:r>
            </w:hyperlink>
            <w:r>
              <w:rPr/>
              <w:t xml:space="preserve"> [ </w:t>
            </w:r>
            <w:r>
              <w:rPr>
                <w:rFonts w:ascii="Times;serif" w:hAnsi="Times;serif"/>
                <w:color w:val="0000FF"/>
                <w:sz w:val="24"/>
                <w:shd w:fill="FFFFFF" w:val="clear"/>
              </w:rPr>
              <w:t>FRBT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7"/>
        <w:gridCol w:w="931"/>
        <w:gridCol w:w="798"/>
        <w:gridCol w:w="618"/>
        <w:gridCol w:w="349"/>
        <w:gridCol w:w="885"/>
        <w:gridCol w:w="440"/>
        <w:gridCol w:w="608"/>
        <w:gridCol w:w="1152"/>
        <w:gridCol w:w="994"/>
        <w:gridCol w:w="12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6,171</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6,171</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136,994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Christopher T. Jones Revocable Trust</w:t>
            </w:r>
            <w:r>
              <w:rPr>
                <w:rFonts w:ascii="Times;serif" w:hAnsi="Times;serif"/>
                <w:color w:val="008000"/>
                <w:position w:val="7"/>
                <w:sz w:val="16"/>
                <w:sz w:val="20"/>
                <w:shd w:fill="FFFFFF" w:val="clear"/>
              </w:rPr>
              <w:t>(2)</w:t>
            </w:r>
            <w:r>
              <w:rPr/>
              <w:t xml:space="preserve"> </w:t>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18,822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Patricia B. Jones Revocable Trust</w:t>
            </w:r>
            <w:r>
              <w:rPr>
                <w:rFonts w:ascii="Times;serif" w:hAnsi="Times;serif"/>
                <w:color w:val="008000"/>
                <w:position w:val="7"/>
                <w:sz w:val="16"/>
                <w:sz w:val="20"/>
                <w:shd w:fill="FFFFFF" w:val="clear"/>
              </w:rPr>
              <w:t>(3)</w:t>
            </w:r>
            <w:r>
              <w:rPr/>
              <w:t xml:space="preserve"> </w:t>
            </w:r>
          </w:p>
        </w:tc>
      </w:tr>
      <w:tr>
        <w:trPr/>
        <w:tc>
          <w:tcPr>
            <w:tcW w:w="21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16,807</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Pacific Premier Trust FBO Christopher T Jones SEP IRA</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under the Issuer's 2026 Omnibus Incentive Plan. The RSUs will vest in full on the date of the Issuer's 2027 annual meeting of stockholders, subject to the Reporting Person's continued service as a member of the Issuer's board of directors through such vesting date. Each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Christopher T. Jones Revocable Trust (the "CTJ Trust"), for which the Reporting Person is a trustee. Certain members of the Reporting Person's immediate family are beneficiaries of the CTJ Trust. The Reporting Person disclaims beneficial ownership of the shares held by the CTJ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Patricia B. Jones Revocable Trust (the "PBJ Trust"), for which Patricia Jones, the spouse of the Reporting Person is trustee. The Reporting Person disclaims beneficial ownership of the shares held by the PBJ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The Pacific Premier Trust FBO Christopher T Jones SEP IRA (the "SEP IRA") for which the Reporting Person is custodian. The Reporting Person disclaims beneficial ownership of the shares held by the SEP IRA,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Kori L. Ogrosky,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337" TargetMode="External"/><Relationship Id="rId5" Type="http://schemas.openxmlformats.org/officeDocument/2006/relationships/hyperlink" Target="http://www.sec.gov/cgi-bin/browse-edgar?action=getcompany&amp;CIK=0001925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4399</Characters>
  <CharactersWithSpaces>5158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