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Flanders Cynthia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4445 WILLARD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CHEVY 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Forbright, Inc.</w:t>
              </w:r>
            </w:hyperlink>
            <w:r>
              <w:rPr/>
              <w:t xml:space="preserve"> [ </w:t>
            </w:r>
            <w:r>
              <w:rPr>
                <w:rFonts w:ascii="Times;serif" w:hAnsi="Times;serif"/>
                <w:color w:val="0000FF"/>
                <w:sz w:val="24"/>
                <w:shd w:fill="FFFFFF" w:val="clear"/>
              </w:rPr>
              <w:t>FRBT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6,171</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under the Issuer's 2026 Omnibus Incentive Plan. The RSUs will vest in full on the date of the Issuer's 2027 annual meeting of stockholders, subject to the Reporting Person's continued service as a member of the Issuer's board of directors through such vesting date. Each RSU represents a contingent right to receive one share of Class 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Kori L. Ogrosky,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3638" TargetMode="External"/><Relationship Id="rId5" Type="http://schemas.openxmlformats.org/officeDocument/2006/relationships/hyperlink" Target="http://www.sec.gov/cgi-bin/browse-edgar?action=getcompany&amp;CIK=0001925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3383</Characters>
  <CharactersWithSpaces>3951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