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319677.xml.htm"/>
      <w:bookmarkStart w:id="1" w:name="kswkform4_178431967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Flanders Cynthia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4445 WILLARD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CHEVY CHASE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Forbright, Inc.</w:t>
              </w:r>
            </w:hyperlink>
            <w:r>
              <w:rPr/>
              <w:t xml:space="preserve"> [ </w:t>
            </w:r>
            <w:r>
              <w:rPr>
                <w:rFonts w:ascii="Times;serif" w:hAnsi="Times;serif"/>
                <w:color w:val="0000FF"/>
                <w:sz w:val="24"/>
                <w:shd w:fill="FFFFFF" w:val="clear"/>
              </w:rPr>
              <w:t>FRBT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220</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18.68</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20,241</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fully vested deferred restricted stock units ("DRSUs") granted in lieu of the Reporting Person's quarterly cash retainer fee, which will settle in shares following the termination of the Reporting Person's service as a member of the Issuer's board of directors. Each DRSU represents a contingent right to receive one share of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Randi Killen,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63638" TargetMode="External"/><Relationship Id="rId5" Type="http://schemas.openxmlformats.org/officeDocument/2006/relationships/hyperlink" Target="http://www.sec.gov/cgi-bin/browse-edgar?action=getcompany&amp;CIK=00019250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618</Words>
  <Characters>3357</Characters>
  <CharactersWithSpaces>3915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